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A" w:rsidRPr="007B72D8" w:rsidRDefault="00FE308A" w:rsidP="00751811">
      <w:pPr>
        <w:pStyle w:val="ab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FBD" w:rsidRDefault="008B6FBD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  <w:r w:rsidRPr="002A76FB">
        <w:rPr>
          <w:b/>
          <w:szCs w:val="28"/>
        </w:rPr>
        <w:t>Интервью и аналитика:</w:t>
      </w:r>
    </w:p>
    <w:p w:rsidR="00C23BA8" w:rsidRPr="00C23BA8" w:rsidRDefault="00C23BA8" w:rsidP="00C23BA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3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«Экспертное мнение»: генеральный директор особой экономической зоны «Санкт-Петербург» Тамара </w:t>
      </w:r>
      <w:proofErr w:type="spellStart"/>
      <w:r w:rsidRPr="00C23BA8">
        <w:rPr>
          <w:rFonts w:ascii="Times New Roman" w:hAnsi="Times New Roman" w:cs="Times New Roman"/>
          <w:b/>
          <w:color w:val="auto"/>
          <w:sz w:val="28"/>
          <w:szCs w:val="28"/>
        </w:rPr>
        <w:t>Рондалева</w:t>
      </w:r>
      <w:proofErr w:type="spellEnd"/>
    </w:p>
    <w:p w:rsidR="00C23BA8" w:rsidRDefault="00C23BA8" w:rsidP="00C23BA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BA8">
        <w:rPr>
          <w:rFonts w:ascii="Times New Roman" w:hAnsi="Times New Roman" w:cs="Times New Roman"/>
          <w:color w:val="auto"/>
          <w:sz w:val="28"/>
          <w:szCs w:val="28"/>
        </w:rPr>
        <w:t xml:space="preserve">В 2020 году прогнозный объем уплаченных налогов особой экономической зоны «Санкт-Петербург» должен достичь 18 млрд рублей и превысить затраты на ее создание. Где управляющая компания ищет место под новую площадку и какими льготами намерена дополнить портфель преференций для резидентов, рассказала ее генеральный директор Тамара </w:t>
      </w:r>
      <w:proofErr w:type="spellStart"/>
      <w:r w:rsidRPr="00C23BA8">
        <w:rPr>
          <w:rFonts w:ascii="Times New Roman" w:hAnsi="Times New Roman" w:cs="Times New Roman"/>
          <w:color w:val="auto"/>
          <w:sz w:val="28"/>
          <w:szCs w:val="28"/>
        </w:rPr>
        <w:t>Рондалева</w:t>
      </w:r>
      <w:proofErr w:type="spellEnd"/>
      <w:r w:rsidRPr="00C23B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3BA8" w:rsidRDefault="00C23BA8" w:rsidP="00C23BA8">
      <w:pP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0" w:history="1">
        <w:r w:rsidRPr="00C23BA8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https://www.kommersant.ru/doc/4190385</w:t>
        </w:r>
      </w:hyperlink>
    </w:p>
    <w:p w:rsidR="00F036A2" w:rsidRDefault="00F036A2" w:rsidP="00C23BA8">
      <w:pP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F036A2" w:rsidRPr="00F036A2" w:rsidRDefault="00F036A2" w:rsidP="00F036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6A2">
        <w:rPr>
          <w:rFonts w:ascii="Times New Roman" w:hAnsi="Times New Roman" w:cs="Times New Roman"/>
          <w:b/>
          <w:color w:val="auto"/>
          <w:sz w:val="28"/>
          <w:szCs w:val="28"/>
        </w:rPr>
        <w:t>Конкурсы за 9-15 декабря: коммунальные системы, благоустройство городов, культурные объекты и досуговые центры для молодежи</w:t>
      </w:r>
    </w:p>
    <w:p w:rsidR="00F036A2" w:rsidRDefault="00F036A2" w:rsidP="00F036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6A2">
        <w:rPr>
          <w:rFonts w:ascii="Times New Roman" w:hAnsi="Times New Roman" w:cs="Times New Roman"/>
          <w:color w:val="auto"/>
          <w:sz w:val="28"/>
          <w:szCs w:val="28"/>
        </w:rPr>
        <w:t>За прошедшую неделю с 9 по 15 декабря на сайте torgi.gov.ru опубликовано 20 инвестиционных конкурсов. Общая стоимость конкурсов составила не менее 1,86 млрд рублей, средний срок реализации – 13,9 лет. На прошлой неделе опубликованы лоты в коммунально-энергетической (15 шт.) и социальной (3 шт.) сферах, благоустройстве (2 шт.).</w:t>
      </w:r>
    </w:p>
    <w:p w:rsidR="00F036A2" w:rsidRDefault="00F036A2" w:rsidP="00F036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Среди самых интересных указан проект реновации </w:t>
      </w:r>
      <w:r w:rsidRPr="003E400A">
        <w:rPr>
          <w:rFonts w:ascii="Times New Roman" w:hAnsi="Times New Roman" w:cs="Times New Roman"/>
          <w:bCs/>
          <w:color w:val="auto"/>
          <w:sz w:val="28"/>
          <w:szCs w:val="28"/>
        </w:rPr>
        <w:t>Оранжере</w:t>
      </w:r>
      <w:r w:rsidR="003E400A" w:rsidRPr="003E400A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3E4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Таврическом саду Санкт-Петербурга</w:t>
      </w:r>
      <w:r w:rsidR="003E400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E400A" w:rsidRPr="003E400A" w:rsidRDefault="003E400A" w:rsidP="003E400A">
      <w:pPr>
        <w:spacing w:before="120" w:after="120" w:line="240" w:lineRule="auto"/>
        <w:jc w:val="both"/>
        <w:rPr>
          <w:rStyle w:val="afff4"/>
        </w:rPr>
      </w:pPr>
      <w:hyperlink r:id="rId11" w:history="1">
        <w:r w:rsidRPr="003E400A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https://rosinfra.ru/news/konkursy-za-9-15-dekabra-kommunalnye-sistemy-blagoustrojstvo-gorodov-kulturnye-obekty-i-dosugovye-centry-dla-molodezi</w:t>
        </w:r>
      </w:hyperlink>
    </w:p>
    <w:p w:rsidR="00D84DB9" w:rsidRPr="007B72D8" w:rsidRDefault="00D84DB9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3E400A" w:rsidRDefault="003E400A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</w:p>
    <w:p w:rsidR="00FE308A" w:rsidRDefault="00FE308A" w:rsidP="00751811">
      <w:pPr>
        <w:pStyle w:val="afffff9"/>
        <w:spacing w:before="120" w:after="120" w:line="240" w:lineRule="auto"/>
        <w:ind w:firstLine="720"/>
        <w:jc w:val="both"/>
        <w:rPr>
          <w:szCs w:val="28"/>
        </w:rPr>
      </w:pPr>
      <w:r w:rsidRPr="002A76FB">
        <w:rPr>
          <w:b/>
          <w:szCs w:val="28"/>
        </w:rPr>
        <w:t xml:space="preserve">Новости </w:t>
      </w:r>
      <w:r w:rsidR="008B6FBD" w:rsidRPr="002A76FB">
        <w:rPr>
          <w:b/>
          <w:szCs w:val="28"/>
        </w:rPr>
        <w:t>по ГЧП и инвестициям</w:t>
      </w:r>
      <w:r w:rsidR="00864A7F" w:rsidRPr="007B72D8">
        <w:rPr>
          <w:szCs w:val="28"/>
        </w:rPr>
        <w:t>:</w:t>
      </w:r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b/>
          <w:color w:val="auto"/>
          <w:sz w:val="28"/>
          <w:szCs w:val="28"/>
        </w:rPr>
        <w:t>Подписана первая в России концессия по созданию инфраструктуры детского отдыха</w:t>
      </w:r>
    </w:p>
    <w:p w:rsidR="00ED5BA5" w:rsidRDefault="00D84DB9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16 декабря состоялось подписание концессионного соглашения о создании и эксплуатации круглогодичного детского центра отдыха и оздоровления «Полярная звезда» в Республике Саха (Якутия). Концессионное соглашение в присутствие главы Якутии </w:t>
      </w:r>
      <w:proofErr w:type="spellStart"/>
      <w:r w:rsidRPr="00D84DB9">
        <w:rPr>
          <w:rFonts w:ascii="Times New Roman" w:hAnsi="Times New Roman" w:cs="Times New Roman"/>
          <w:color w:val="auto"/>
          <w:sz w:val="28"/>
          <w:szCs w:val="28"/>
        </w:rPr>
        <w:t>Айсена</w:t>
      </w:r>
      <w:proofErr w:type="spellEnd"/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 Николаева подписали министр экономики республики Майя Данилова и генеральный директор компании «Полярная звезда» Иван Игнатенко. Это первая в России концессия на строительство нового детского лагеря.</w:t>
      </w:r>
    </w:p>
    <w:p w:rsidR="00D84DB9" w:rsidRPr="00D84DB9" w:rsidRDefault="00D84DB9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84DB9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Строительство объекта начнется в 2020 году, сдача запланирована на 2021 год. Общая пропускная мощность проектируемого центра составит 5 250 детей в год. Концессионер получит лагерь в управление на 17 лет.</w:t>
      </w:r>
    </w:p>
    <w:p w:rsidR="00D84DB9" w:rsidRPr="00D84DB9" w:rsidRDefault="00D84DB9" w:rsidP="00D84DB9">
      <w:pPr>
        <w:spacing w:before="120" w:after="120" w:line="240" w:lineRule="auto"/>
        <w:jc w:val="both"/>
        <w:rPr>
          <w:rStyle w:val="afff4"/>
        </w:rPr>
      </w:pPr>
      <w:hyperlink r:id="rId12" w:history="1">
        <w:r w:rsidRPr="00D84DB9">
          <w:rPr>
            <w:rStyle w:val="afff4"/>
            <w:rFonts w:ascii="Times New Roman" w:hAnsi="Times New Roman" w:cs="Times New Roman"/>
            <w:sz w:val="28"/>
            <w:szCs w:val="28"/>
          </w:rPr>
          <w:t>http://pppcenter.ru/29/novosti/pppcenter-news/podpisana-pervaya-v-rossii-konczessiya-po-sozdaniyu-infrastrukturyi-detskogo-otdyixa.html</w:t>
        </w:r>
      </w:hyperlink>
    </w:p>
    <w:p w:rsidR="00D84DB9" w:rsidRPr="00D84DB9" w:rsidRDefault="00D84DB9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b/>
          <w:color w:val="auto"/>
          <w:sz w:val="28"/>
          <w:szCs w:val="28"/>
        </w:rPr>
        <w:t>Греф и Минтранс вступились за инвесторов в инфраструктуру</w:t>
      </w:r>
    </w:p>
    <w:p w:rsidR="00D84DB9" w:rsidRPr="00D84DB9" w:rsidRDefault="00D84DB9" w:rsidP="00D84DB9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Президент Сбербанка Герман Греф и Минтранс заступились за инвесторов в инфраструктуру. </w:t>
      </w:r>
      <w:proofErr w:type="spellStart"/>
      <w:r w:rsidRPr="00D84DB9">
        <w:rPr>
          <w:rFonts w:ascii="Times New Roman" w:hAnsi="Times New Roman" w:cs="Times New Roman"/>
          <w:color w:val="auto"/>
          <w:sz w:val="28"/>
          <w:szCs w:val="28"/>
        </w:rPr>
        <w:t>Госбанкир</w:t>
      </w:r>
      <w:proofErr w:type="spellEnd"/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 и первый замминистра транспорта Иннокентий </w:t>
      </w:r>
      <w:proofErr w:type="spellStart"/>
      <w:r w:rsidRPr="00D84DB9">
        <w:rPr>
          <w:rFonts w:ascii="Times New Roman" w:hAnsi="Times New Roman" w:cs="Times New Roman"/>
          <w:color w:val="auto"/>
          <w:sz w:val="28"/>
          <w:szCs w:val="28"/>
        </w:rPr>
        <w:t>Алафинов</w:t>
      </w:r>
      <w:proofErr w:type="spellEnd"/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 выступили против регулирования инфраструктурных проектов законопроектом о защите инвестиций и попросили исключить из-под его действия концессии и ГЧП.</w:t>
      </w:r>
    </w:p>
    <w:p w:rsidR="00D84DB9" w:rsidRPr="00D84DB9" w:rsidRDefault="00D84DB9" w:rsidP="00D84DB9">
      <w:pPr>
        <w:spacing w:before="120" w:after="120" w:line="240" w:lineRule="auto"/>
        <w:jc w:val="both"/>
        <w:rPr>
          <w:rStyle w:val="afff4"/>
        </w:rPr>
      </w:pPr>
      <w:hyperlink r:id="rId13" w:history="1">
        <w:r w:rsidRPr="00D84DB9">
          <w:rPr>
            <w:rStyle w:val="afff4"/>
            <w:rFonts w:ascii="Times New Roman" w:hAnsi="Times New Roman" w:cs="Times New Roman"/>
            <w:sz w:val="28"/>
            <w:szCs w:val="28"/>
          </w:rPr>
          <w:t>https://www.vedomosti.ru/economics/articles/2019/12/17/818967-gref-mintrans</w:t>
        </w:r>
      </w:hyperlink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b/>
          <w:color w:val="auto"/>
          <w:sz w:val="28"/>
          <w:szCs w:val="28"/>
        </w:rPr>
        <w:t>Власти Калининградской области заключат концессию на строительство мусорного полигона</w:t>
      </w:r>
    </w:p>
    <w:p w:rsidR="00D84DB9" w:rsidRPr="00D84DB9" w:rsidRDefault="00D84DB9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color w:val="auto"/>
          <w:sz w:val="28"/>
          <w:szCs w:val="28"/>
        </w:rPr>
        <w:t xml:space="preserve">Власти Калининградской области заключат концессионное соглашение на строительство полигона для обработки и захоронения твердых коммунальных отходов с компанией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D84DB9">
        <w:rPr>
          <w:rFonts w:ascii="Times New Roman" w:hAnsi="Times New Roman" w:cs="Times New Roman"/>
          <w:color w:val="auto"/>
          <w:sz w:val="28"/>
          <w:szCs w:val="28"/>
        </w:rPr>
        <w:t>Сибинвестстрой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84DB9">
        <w:rPr>
          <w:rFonts w:ascii="Times New Roman" w:hAnsi="Times New Roman" w:cs="Times New Roman"/>
          <w:color w:val="auto"/>
          <w:sz w:val="28"/>
          <w:szCs w:val="28"/>
        </w:rPr>
        <w:t>. Соответствующее постановление за подписью губернатора Антона Алиханова опубликовано на официальном интернет-портале правовой информации.</w:t>
      </w:r>
    </w:p>
    <w:p w:rsidR="00D84DB9" w:rsidRDefault="00D84DB9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color w:val="auto"/>
          <w:sz w:val="28"/>
          <w:szCs w:val="28"/>
        </w:rPr>
        <w:t>Согласно документу, концессионер обязуется подготовить проектно-сметную документацию на строительство комплекса, построить и ввести его, а также содержать, ремонтировать и эксплуатировать его на протяжении 25 лет. Проектный срок эксплуатации полигона — 35 лет.</w:t>
      </w:r>
    </w:p>
    <w:p w:rsidR="00D84DB9" w:rsidRPr="00D84DB9" w:rsidRDefault="00D84DB9" w:rsidP="00D84DB9">
      <w:pPr>
        <w:spacing w:before="120" w:after="120" w:line="240" w:lineRule="auto"/>
        <w:jc w:val="both"/>
        <w:rPr>
          <w:rStyle w:val="afff4"/>
        </w:rPr>
      </w:pPr>
      <w:hyperlink r:id="rId14" w:history="1">
        <w:r w:rsidRPr="00D84DB9">
          <w:rPr>
            <w:rStyle w:val="afff4"/>
            <w:rFonts w:ascii="Times New Roman" w:hAnsi="Times New Roman" w:cs="Times New Roman"/>
            <w:sz w:val="28"/>
            <w:szCs w:val="28"/>
          </w:rPr>
          <w:t>http://pppcenter.ru/29/novosti/events/vlasti-kaliningradskoj-oblasti-zaklyuchat-konczessiyu-na-stroitelstvo-musornogo-poligona.html</w:t>
        </w:r>
      </w:hyperlink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E400A" w:rsidRDefault="003E400A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0EFB" w:rsidRDefault="00B70EFB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0EFB">
        <w:rPr>
          <w:rFonts w:ascii="Times New Roman" w:hAnsi="Times New Roman" w:cs="Times New Roman"/>
          <w:b/>
          <w:color w:val="auto"/>
          <w:sz w:val="28"/>
          <w:szCs w:val="28"/>
        </w:rPr>
        <w:t>Коммерсанты пошли в номера</w:t>
      </w:r>
    </w:p>
    <w:p w:rsidR="00B70EFB" w:rsidRPr="00B70EFB" w:rsidRDefault="00B70EFB" w:rsidP="00B70EF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B70EFB">
        <w:rPr>
          <w:rFonts w:ascii="Times New Roman" w:hAnsi="Times New Roman" w:cs="Times New Roman"/>
          <w:color w:val="auto"/>
          <w:sz w:val="28"/>
          <w:szCs w:val="28"/>
        </w:rPr>
        <w:t>Благодаря участию непрофильных инвесторов в Петербурге реализуется ряд знаковых для города гостиничных проектов. Запрет хостелов в жилых домах и запуск электронных виз должны стимулировать дополнительный интерес с их стороны к туристическому рынку города.</w:t>
      </w:r>
    </w:p>
    <w:p w:rsidR="00B70EFB" w:rsidRPr="00B70EFB" w:rsidRDefault="00B70EFB" w:rsidP="00B70EFB">
      <w:pP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5" w:history="1">
        <w:r w:rsidRPr="00B70EFB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https://www.kommersant.ru/doc/4190359</w:t>
        </w:r>
      </w:hyperlink>
    </w:p>
    <w:p w:rsidR="00B70EFB" w:rsidRDefault="00B70EFB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0EFB" w:rsidRDefault="00B70EFB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0EFB">
        <w:rPr>
          <w:rFonts w:ascii="Times New Roman" w:hAnsi="Times New Roman" w:cs="Times New Roman"/>
          <w:b/>
          <w:color w:val="auto"/>
          <w:sz w:val="28"/>
          <w:szCs w:val="28"/>
        </w:rPr>
        <w:t>ЦПКиО и парк 300-летия Петербурга свяжет променад</w:t>
      </w:r>
    </w:p>
    <w:p w:rsidR="00B70EFB" w:rsidRDefault="00B70EFB" w:rsidP="00B70EF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B70EFB"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градостроительству и архитектуре (КГА) подготовил концепцию устройства набережной Большой </w:t>
      </w:r>
      <w:proofErr w:type="spellStart"/>
      <w:r w:rsidRPr="00B70EFB">
        <w:rPr>
          <w:rFonts w:ascii="Times New Roman" w:hAnsi="Times New Roman" w:cs="Times New Roman"/>
          <w:color w:val="auto"/>
          <w:sz w:val="28"/>
          <w:szCs w:val="28"/>
        </w:rPr>
        <w:t>Невки</w:t>
      </w:r>
      <w:proofErr w:type="spellEnd"/>
      <w:r w:rsidRPr="00B70EFB">
        <w:rPr>
          <w:rFonts w:ascii="Times New Roman" w:hAnsi="Times New Roman" w:cs="Times New Roman"/>
          <w:color w:val="auto"/>
          <w:sz w:val="28"/>
          <w:szCs w:val="28"/>
        </w:rPr>
        <w:t xml:space="preserve"> в Приморском районе города на участке от 3-го Елагина моста до парка имени 300-летия Петербурга. По данным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70EFB">
        <w:rPr>
          <w:rFonts w:ascii="Times New Roman" w:hAnsi="Times New Roman" w:cs="Times New Roman"/>
          <w:color w:val="auto"/>
          <w:sz w:val="28"/>
          <w:szCs w:val="28"/>
        </w:rPr>
        <w:t>Ъ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70EFB">
        <w:rPr>
          <w:rFonts w:ascii="Times New Roman" w:hAnsi="Times New Roman" w:cs="Times New Roman"/>
          <w:color w:val="auto"/>
          <w:sz w:val="28"/>
          <w:szCs w:val="28"/>
        </w:rPr>
        <w:t>, вдоль береговой линии появятся непрерывные пешеходные и велосипедные маршруты с транзитом под ЗСД и Яхтенным мостом. Новый променад начнут создавать не раньше 2021 года при условии выделения бюджетных средств.</w:t>
      </w:r>
    </w:p>
    <w:p w:rsidR="00B70EFB" w:rsidRPr="00B70EFB" w:rsidRDefault="00B70EFB" w:rsidP="00B70EFB">
      <w:pPr>
        <w:spacing w:before="120" w:after="120" w:line="240" w:lineRule="auto"/>
        <w:jc w:val="both"/>
        <w:rPr>
          <w:rStyle w:val="afff4"/>
        </w:rPr>
      </w:pPr>
      <w:hyperlink r:id="rId16" w:history="1">
        <w:r w:rsidRPr="00B70EFB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https://www.kommersant.ru/doc/4197021</w:t>
        </w:r>
      </w:hyperlink>
    </w:p>
    <w:p w:rsidR="00B70EFB" w:rsidRPr="00B70EFB" w:rsidRDefault="00B70EFB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4DB9" w:rsidRDefault="00D84DB9" w:rsidP="007518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b/>
          <w:color w:val="auto"/>
          <w:sz w:val="28"/>
          <w:szCs w:val="28"/>
        </w:rPr>
        <w:t>Инвесторы под прикрытием</w:t>
      </w:r>
    </w:p>
    <w:p w:rsidR="00D701B4" w:rsidRDefault="00D84DB9" w:rsidP="00D84DB9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Fonts w:ascii="Times New Roman" w:hAnsi="Times New Roman" w:cs="Times New Roman"/>
          <w:color w:val="auto"/>
          <w:sz w:val="28"/>
          <w:szCs w:val="28"/>
        </w:rPr>
        <w:t>Россия заняла 2-е место после Китая по доле формально иностранных, но на деле внутренних инвестиций в экономику, что указывает на слабую институциональную среду в стране, куда россияне предпочитают вкладывать как иностранцы – это создает ощущение дополнительной защиты.</w:t>
      </w:r>
    </w:p>
    <w:p w:rsidR="00D701B4" w:rsidRDefault="00D84DB9" w:rsidP="00D84DB9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DB9">
        <w:rPr>
          <w:rStyle w:val="afff4"/>
          <w:rFonts w:ascii="Times New Roman" w:hAnsi="Times New Roman" w:cs="Times New Roman"/>
          <w:sz w:val="28"/>
          <w:szCs w:val="28"/>
        </w:rPr>
        <w:t>https://www.vedomosti.ru/opinion/articles/2019/12/19/819077-investori-prikritiem</w:t>
      </w:r>
    </w:p>
    <w:sectPr w:rsidR="00D701B4" w:rsidSect="00ED5BA5"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A" w:rsidRDefault="00FE308A">
      <w:pPr>
        <w:spacing w:after="0" w:line="240" w:lineRule="auto"/>
      </w:pPr>
      <w:r>
        <w:separator/>
      </w:r>
    </w:p>
  </w:endnote>
  <w:endnote w:type="continuationSeparator" w:id="0">
    <w:p w:rsidR="00FE308A" w:rsidRDefault="00F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ED5BA5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8056" w:type="dxa"/>
          <w:shd w:val="clear" w:color="auto" w:fill="EBEBEB" w:themeFill="background2"/>
          <w:vAlign w:val="center"/>
        </w:tcPr>
        <w:p w:rsidR="006515E8" w:rsidRDefault="00D0317D" w:rsidP="006515E8">
          <w:r>
            <w:t>1</w:t>
          </w:r>
        </w:p>
      </w:tc>
      <w:tc>
        <w:tcPr>
          <w:tcW w:w="19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9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10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A" w:rsidRDefault="00FE308A">
      <w:pPr>
        <w:spacing w:after="0" w:line="240" w:lineRule="auto"/>
      </w:pPr>
      <w:r>
        <w:separator/>
      </w:r>
    </w:p>
  </w:footnote>
  <w:footnote w:type="continuationSeparator" w:id="0">
    <w:p w:rsidR="00FE308A" w:rsidRDefault="00F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D5BA5" w:rsidP="00724538">
    <w:pPr>
      <w:pStyle w:val="a8"/>
    </w:pPr>
    <w:r>
      <w:rPr>
        <w:noProof/>
        <w:lang w:eastAsia="ru-RU"/>
      </w:rPr>
      <w:drawing>
        <wp:inline distT="0" distB="0" distL="0" distR="0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C3757"/>
    <w:multiLevelType w:val="hybridMultilevel"/>
    <w:tmpl w:val="682A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A"/>
    <w:rsid w:val="00000A9D"/>
    <w:rsid w:val="0002564C"/>
    <w:rsid w:val="000707F9"/>
    <w:rsid w:val="000A7C2A"/>
    <w:rsid w:val="000B2A35"/>
    <w:rsid w:val="00134C40"/>
    <w:rsid w:val="00143FD5"/>
    <w:rsid w:val="00156EF1"/>
    <w:rsid w:val="001855E0"/>
    <w:rsid w:val="001929B2"/>
    <w:rsid w:val="00196A33"/>
    <w:rsid w:val="001A0D50"/>
    <w:rsid w:val="001B5F27"/>
    <w:rsid w:val="001E5353"/>
    <w:rsid w:val="001F73E2"/>
    <w:rsid w:val="002229ED"/>
    <w:rsid w:val="002705B7"/>
    <w:rsid w:val="002911F1"/>
    <w:rsid w:val="002A58A9"/>
    <w:rsid w:val="002A76FB"/>
    <w:rsid w:val="002C2563"/>
    <w:rsid w:val="00310641"/>
    <w:rsid w:val="00321F6A"/>
    <w:rsid w:val="00343FBB"/>
    <w:rsid w:val="00360B65"/>
    <w:rsid w:val="0037096C"/>
    <w:rsid w:val="00391C63"/>
    <w:rsid w:val="003D0FBD"/>
    <w:rsid w:val="003D4002"/>
    <w:rsid w:val="003E400A"/>
    <w:rsid w:val="00401E15"/>
    <w:rsid w:val="00447438"/>
    <w:rsid w:val="00475A2C"/>
    <w:rsid w:val="0047766A"/>
    <w:rsid w:val="0048054C"/>
    <w:rsid w:val="00480808"/>
    <w:rsid w:val="004B4122"/>
    <w:rsid w:val="004B5284"/>
    <w:rsid w:val="004D6307"/>
    <w:rsid w:val="00514489"/>
    <w:rsid w:val="00543E9E"/>
    <w:rsid w:val="00553A7D"/>
    <w:rsid w:val="00565E2F"/>
    <w:rsid w:val="0056701C"/>
    <w:rsid w:val="005B526B"/>
    <w:rsid w:val="005B65F3"/>
    <w:rsid w:val="005B66EA"/>
    <w:rsid w:val="005C7F0A"/>
    <w:rsid w:val="005E5E2B"/>
    <w:rsid w:val="0061224B"/>
    <w:rsid w:val="00612DB5"/>
    <w:rsid w:val="006515E8"/>
    <w:rsid w:val="00687B11"/>
    <w:rsid w:val="006A2D04"/>
    <w:rsid w:val="006B0B08"/>
    <w:rsid w:val="006B3A45"/>
    <w:rsid w:val="006B7882"/>
    <w:rsid w:val="006C2695"/>
    <w:rsid w:val="006F1118"/>
    <w:rsid w:val="0070445E"/>
    <w:rsid w:val="00706FC4"/>
    <w:rsid w:val="00711400"/>
    <w:rsid w:val="00724538"/>
    <w:rsid w:val="00741FDE"/>
    <w:rsid w:val="00751811"/>
    <w:rsid w:val="00766139"/>
    <w:rsid w:val="0078140C"/>
    <w:rsid w:val="007B72D8"/>
    <w:rsid w:val="007E1DC5"/>
    <w:rsid w:val="008100C8"/>
    <w:rsid w:val="008321D9"/>
    <w:rsid w:val="008347EF"/>
    <w:rsid w:val="00857352"/>
    <w:rsid w:val="00864A7F"/>
    <w:rsid w:val="00896700"/>
    <w:rsid w:val="008A3202"/>
    <w:rsid w:val="008B6FBD"/>
    <w:rsid w:val="008F574F"/>
    <w:rsid w:val="00925575"/>
    <w:rsid w:val="009258AC"/>
    <w:rsid w:val="009420D1"/>
    <w:rsid w:val="00946252"/>
    <w:rsid w:val="0098300D"/>
    <w:rsid w:val="00985B5C"/>
    <w:rsid w:val="00995C07"/>
    <w:rsid w:val="009E37DE"/>
    <w:rsid w:val="009F0B81"/>
    <w:rsid w:val="00A35FEA"/>
    <w:rsid w:val="00A36F67"/>
    <w:rsid w:val="00A44A0E"/>
    <w:rsid w:val="00A6709B"/>
    <w:rsid w:val="00AB1341"/>
    <w:rsid w:val="00AE267E"/>
    <w:rsid w:val="00B06C71"/>
    <w:rsid w:val="00B201AB"/>
    <w:rsid w:val="00B46985"/>
    <w:rsid w:val="00B54183"/>
    <w:rsid w:val="00B70EFB"/>
    <w:rsid w:val="00B8163C"/>
    <w:rsid w:val="00B9569D"/>
    <w:rsid w:val="00BC3EF5"/>
    <w:rsid w:val="00BF473C"/>
    <w:rsid w:val="00C17A96"/>
    <w:rsid w:val="00C23BA8"/>
    <w:rsid w:val="00C3255D"/>
    <w:rsid w:val="00C46EC6"/>
    <w:rsid w:val="00C62B67"/>
    <w:rsid w:val="00C74B1A"/>
    <w:rsid w:val="00C76C3D"/>
    <w:rsid w:val="00C905B8"/>
    <w:rsid w:val="00CB2712"/>
    <w:rsid w:val="00CD5E29"/>
    <w:rsid w:val="00CE51E8"/>
    <w:rsid w:val="00D0317D"/>
    <w:rsid w:val="00D055AE"/>
    <w:rsid w:val="00D222BF"/>
    <w:rsid w:val="00D25C8E"/>
    <w:rsid w:val="00D263CA"/>
    <w:rsid w:val="00D35E92"/>
    <w:rsid w:val="00D4190C"/>
    <w:rsid w:val="00D611FE"/>
    <w:rsid w:val="00D66811"/>
    <w:rsid w:val="00D701B4"/>
    <w:rsid w:val="00D84DB9"/>
    <w:rsid w:val="00D879EB"/>
    <w:rsid w:val="00D906CA"/>
    <w:rsid w:val="00DA14CB"/>
    <w:rsid w:val="00DF7A95"/>
    <w:rsid w:val="00E12DAB"/>
    <w:rsid w:val="00E156BA"/>
    <w:rsid w:val="00E67C2F"/>
    <w:rsid w:val="00EB1088"/>
    <w:rsid w:val="00ED5BA5"/>
    <w:rsid w:val="00EE0CEF"/>
    <w:rsid w:val="00EE4599"/>
    <w:rsid w:val="00F036A2"/>
    <w:rsid w:val="00F07379"/>
    <w:rsid w:val="00F11A1F"/>
    <w:rsid w:val="00F236A5"/>
    <w:rsid w:val="00F30102"/>
    <w:rsid w:val="00F353FD"/>
    <w:rsid w:val="00F4343E"/>
    <w:rsid w:val="00F73D58"/>
    <w:rsid w:val="00F85CE8"/>
    <w:rsid w:val="00FA7455"/>
    <w:rsid w:val="00FB334A"/>
    <w:rsid w:val="00FB3B0A"/>
    <w:rsid w:val="00FB6E0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91AAC5A-BA02-468E-92D1-D3DBFC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Название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domosti.ru/economics/articles/2019/12/17/818967-gref-mintra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ppcenter.ru/29/novosti/pppcenter-news/podpisana-pervaya-v-rossii-konczessiya-po-sozdaniyu-infrastrukturyi-detskogo-otdyixa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mmersant.ru/doc/4197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infra.ru/news/konkursy-za-9-15-dekabra-kommunalnye-sistemy-blagoustrojstvo-gorodov-kulturnye-obekty-i-dosugovye-centry-dla-molodez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ommersant.ru/doc/4190359" TargetMode="External"/><Relationship Id="rId10" Type="http://schemas.openxmlformats.org/officeDocument/2006/relationships/hyperlink" Target="https://www.kommersant.ru/doc/4190385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ppcenter.ru/29/novosti/events/vlasti-kaliningradskoj-oblasti-zaklyuchat-konczessiyu-na-stroitelstvo-musornogo-poligon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rabekov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71</TotalTime>
  <Pages>3</Pages>
  <Words>707</Words>
  <Characters>4545</Characters>
  <Application>Microsoft Office Word</Application>
  <DocSecurity>0</DocSecurity>
  <Lines>156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Карабекова Наида Сабировна</dc:creator>
  <cp:keywords/>
  <cp:lastModifiedBy>Карабекова Наида Сабировна</cp:lastModifiedBy>
  <cp:revision>7</cp:revision>
  <cp:lastPrinted>2019-02-04T08:02:00Z</cp:lastPrinted>
  <dcterms:created xsi:type="dcterms:W3CDTF">2019-12-19T13:45:00Z</dcterms:created>
  <dcterms:modified xsi:type="dcterms:W3CDTF">2019-12-19T14:56:00Z</dcterms:modified>
  <cp:contentStatus>ИНФОРМАЦИОННЫЙ ДАЙДЖЕСТ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